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E" w:rsidRPr="0097696A" w:rsidRDefault="00471BCE" w:rsidP="00471BCE">
      <w:pPr>
        <w:pStyle w:val="a3"/>
        <w:tabs>
          <w:tab w:val="left" w:pos="7200"/>
        </w:tabs>
        <w:ind w:firstLine="0"/>
        <w:jc w:val="center"/>
        <w:rPr>
          <w:b/>
          <w:szCs w:val="28"/>
        </w:rPr>
      </w:pPr>
      <w:r w:rsidRPr="0097696A">
        <w:rPr>
          <w:b/>
          <w:szCs w:val="28"/>
        </w:rPr>
        <w:t>Извещение о проведении</w:t>
      </w:r>
    </w:p>
    <w:p w:rsidR="00471BCE" w:rsidRPr="00260E2A" w:rsidRDefault="00471BCE" w:rsidP="00471BCE">
      <w:pPr>
        <w:pStyle w:val="a3"/>
        <w:jc w:val="center"/>
        <w:rPr>
          <w:b/>
          <w:szCs w:val="28"/>
        </w:rPr>
      </w:pPr>
      <w:r w:rsidRPr="0097696A">
        <w:rPr>
          <w:b/>
          <w:szCs w:val="28"/>
        </w:rPr>
        <w:t xml:space="preserve">Аукциона на право заключения договоров купли-продажи </w:t>
      </w:r>
      <w:r w:rsidR="00260E2A" w:rsidRPr="00260E2A">
        <w:rPr>
          <w:b/>
          <w:szCs w:val="28"/>
        </w:rPr>
        <w:t>драгоценных камней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3F30DA">
        <w:rPr>
          <w:b/>
          <w:sz w:val="28"/>
          <w:szCs w:val="28"/>
        </w:rPr>
        <w:t>драгоценных камней</w:t>
      </w:r>
      <w:r>
        <w:rPr>
          <w:b/>
          <w:sz w:val="28"/>
          <w:szCs w:val="28"/>
        </w:rPr>
        <w:t xml:space="preserve"> </w:t>
      </w:r>
      <w:r w:rsidRPr="0097696A">
        <w:rPr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Pr="004E0F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 мая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 w:rsidRPr="00C914AC">
        <w:rPr>
          <w:sz w:val="28"/>
          <w:szCs w:val="28"/>
        </w:rPr>
        <w:t>1-</w:t>
      </w:r>
      <w:r>
        <w:rPr>
          <w:sz w:val="28"/>
          <w:szCs w:val="28"/>
        </w:rPr>
        <w:t xml:space="preserve"> 3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</w:t>
      </w:r>
      <w:r w:rsidRPr="0097696A">
        <w:rPr>
          <w:sz w:val="28"/>
          <w:szCs w:val="28"/>
        </w:rPr>
        <w:t>-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71BCE" w:rsidRPr="0097696A" w:rsidRDefault="00471BCE" w:rsidP="00471BC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руководителя заявителя, а равно любого из конечных бенефициаров не возбуждено уголовное дело по признакам преступления, предусмотренного разделом VIII Уголовного кодекса Российской Федерации;</w:t>
      </w:r>
    </w:p>
    <w:p w:rsidR="00471BCE" w:rsidRPr="0097696A" w:rsidRDefault="00471BCE" w:rsidP="00471BC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инициированы судебные разбирательства с ценой иска превышающей 25 % балансовой стоимости активов;</w:t>
      </w:r>
    </w:p>
    <w:p w:rsidR="00A0186F" w:rsidRPr="00A0186F" w:rsidRDefault="00471BCE" w:rsidP="00A0186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возбуждены исполнительные производства с суммой задолженности превышающей 25% балансовой стоимости активов;</w:t>
      </w:r>
    </w:p>
    <w:p w:rsidR="00A0186F" w:rsidRPr="00F33BBB" w:rsidRDefault="00A0186F" w:rsidP="00A018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драгоценных камней при ранее проведенном аукционе на право заключения договора купли-продажи драгоценных камней в течение одного года предшествующего дате торгов.</w:t>
      </w:r>
    </w:p>
    <w:p w:rsidR="00A0186F" w:rsidRPr="00A0186F" w:rsidRDefault="00A0186F" w:rsidP="00471BCE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Pr="00260E2A">
        <w:rPr>
          <w:b/>
          <w:sz w:val="28"/>
          <w:szCs w:val="28"/>
        </w:rPr>
        <w:t>2</w:t>
      </w:r>
      <w:r w:rsidR="00260E2A">
        <w:rPr>
          <w:b/>
          <w:sz w:val="28"/>
          <w:szCs w:val="28"/>
        </w:rPr>
        <w:t>4</w:t>
      </w:r>
      <w:r w:rsidRPr="00260E2A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24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Pr="00747C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Pr="00260E2A">
        <w:rPr>
          <w:b/>
          <w:sz w:val="28"/>
          <w:szCs w:val="28"/>
        </w:rPr>
        <w:t>25 мая 2017г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DF260C">
        <w:tc>
          <w:tcPr>
            <w:tcW w:w="2269" w:type="dxa"/>
          </w:tcPr>
          <w:p w:rsidR="00471BCE" w:rsidRPr="0097696A" w:rsidRDefault="00471BCE" w:rsidP="00DF260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DF260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DF260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DF260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471BCE" w:rsidP="00DF260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471BCE" w:rsidRPr="0097696A" w:rsidRDefault="00471BCE" w:rsidP="00DF260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471BCE" w:rsidP="00DF260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DF260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DF260C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8 308 604,20</w:t>
            </w:r>
          </w:p>
        </w:tc>
        <w:tc>
          <w:tcPr>
            <w:tcW w:w="2693" w:type="dxa"/>
          </w:tcPr>
          <w:p w:rsidR="00471BCE" w:rsidRPr="00EC552A" w:rsidRDefault="00471BCE" w:rsidP="00DF260C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415 430,21</w:t>
            </w: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308,00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496,00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FF4535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8 497 604,80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424 880,24</w:t>
            </w: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148,00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252,00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rPr>
          <w:trHeight w:val="1014"/>
        </w:trPr>
        <w:tc>
          <w:tcPr>
            <w:tcW w:w="2269" w:type="dxa"/>
          </w:tcPr>
          <w:p w:rsidR="00471BCE" w:rsidRPr="0097696A" w:rsidRDefault="00471BCE" w:rsidP="00DF26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97696A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97696A" w:rsidRDefault="00471BCE" w:rsidP="00DF26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97696A" w:rsidRDefault="00471BCE" w:rsidP="00DF260C">
            <w:pPr>
              <w:rPr>
                <w:b/>
                <w:sz w:val="28"/>
                <w:szCs w:val="28"/>
                <w:lang w:val="en-US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2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 (+2-10)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DF260C">
            <w:pPr>
              <w:spacing w:line="276" w:lineRule="auto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</w:t>
            </w:r>
            <w:r w:rsidRPr="005F53BE">
              <w:rPr>
                <w:sz w:val="28"/>
                <w:szCs w:val="28"/>
              </w:rPr>
              <w:lastRenderedPageBreak/>
              <w:t>наличие изумрудов смежного сорта, группы цвета и размерности не более 10% по каждому из параметров.</w:t>
            </w:r>
            <w:r w:rsidRPr="0097696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71BCE" w:rsidRPr="0097696A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2 834 702,20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141 735,11</w:t>
            </w: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(+2-10)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DF260C">
            <w:pPr>
              <w:spacing w:line="276" w:lineRule="auto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DF26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lastRenderedPageBreak/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 xml:space="preserve"> (+10-20)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(+2-10)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</w:t>
            </w:r>
            <w:r w:rsidRPr="005F53BE">
              <w:rPr>
                <w:sz w:val="28"/>
                <w:szCs w:val="28"/>
              </w:rPr>
              <w:lastRenderedPageBreak/>
              <w:t>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(+20)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(+2-10)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(+2-10)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(+10-20)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размерность, мм</w:t>
            </w:r>
            <w:r>
              <w:rPr>
                <w:b/>
                <w:sz w:val="28"/>
                <w:szCs w:val="28"/>
              </w:rPr>
              <w:t xml:space="preserve"> (+10-20)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вмещающих пород, покрывающие  не более 20% поверхности изумруда.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205,00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  <w:tr w:rsidR="00471BCE" w:rsidRPr="0097696A" w:rsidTr="00DF260C">
        <w:tc>
          <w:tcPr>
            <w:tcW w:w="2269" w:type="dxa"/>
          </w:tcPr>
          <w:p w:rsidR="00471BCE" w:rsidRPr="004F519C" w:rsidRDefault="00471BCE" w:rsidP="00DF260C">
            <w:pPr>
              <w:rPr>
                <w:b/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</w:t>
            </w:r>
            <w:r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</w:rPr>
              <w:t xml:space="preserve"> </w:t>
            </w:r>
            <w:r w:rsidRPr="0097696A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71BCE" w:rsidRDefault="00471BCE" w:rsidP="00DF260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DF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по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471BCE" w:rsidRPr="005F53BE" w:rsidRDefault="00471BCE" w:rsidP="00DF2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471BC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20,00</w:t>
            </w:r>
          </w:p>
        </w:tc>
        <w:tc>
          <w:tcPr>
            <w:tcW w:w="2693" w:type="dxa"/>
          </w:tcPr>
          <w:p w:rsidR="00471BCE" w:rsidRPr="005F53BE" w:rsidRDefault="00471BCE" w:rsidP="00DF2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4F519C" w:rsidRDefault="00471BCE" w:rsidP="00DF26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DF260C">
        <w:trPr>
          <w:trHeight w:val="493"/>
        </w:trPr>
        <w:tc>
          <w:tcPr>
            <w:tcW w:w="7390" w:type="dxa"/>
          </w:tcPr>
          <w:p w:rsidR="00471BCE" w:rsidRPr="0097696A" w:rsidRDefault="00471BCE" w:rsidP="00DF260C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DF26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DF260C">
        <w:trPr>
          <w:trHeight w:val="493"/>
        </w:trPr>
        <w:tc>
          <w:tcPr>
            <w:tcW w:w="7390" w:type="dxa"/>
          </w:tcPr>
          <w:p w:rsidR="00471BCE" w:rsidRPr="0097696A" w:rsidRDefault="00471BCE" w:rsidP="00DF260C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Pr="0097696A" w:rsidRDefault="00471BCE" w:rsidP="00DF260C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471BCE" w:rsidRPr="00087019" w:rsidTr="00DF260C">
        <w:trPr>
          <w:trHeight w:val="493"/>
        </w:trPr>
        <w:tc>
          <w:tcPr>
            <w:tcW w:w="7390" w:type="dxa"/>
          </w:tcPr>
          <w:p w:rsidR="00471BCE" w:rsidRPr="0097696A" w:rsidRDefault="00471BCE" w:rsidP="00DF260C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DF260C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97696A">
              <w:rPr>
                <w:sz w:val="28"/>
                <w:szCs w:val="28"/>
                <w:lang w:eastAsia="en-US"/>
              </w:rPr>
              <w:t>0</w:t>
            </w:r>
            <w:r w:rsidRPr="00675C57">
              <w:rPr>
                <w:sz w:val="28"/>
                <w:szCs w:val="28"/>
                <w:lang w:eastAsia="en-US"/>
              </w:rPr>
              <w:t>(десяти) рабочих  дней с даты получения денежных сре</w:t>
            </w:r>
            <w:bookmarkStart w:id="0" w:name="_GoBack"/>
            <w:bookmarkEnd w:id="0"/>
            <w:r w:rsidRPr="00675C57">
              <w:rPr>
                <w:sz w:val="28"/>
                <w:szCs w:val="28"/>
                <w:lang w:eastAsia="en-US"/>
              </w:rPr>
              <w:t>дств на расчетный счет Продавца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97696A">
              <w:rPr>
                <w:sz w:val="28"/>
                <w:szCs w:val="28"/>
                <w:lang w:eastAsia="en-US"/>
              </w:rPr>
              <w:t xml:space="preserve">  самовывозом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367A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1B06FC"/>
    <w:rsid w:val="0020540C"/>
    <w:rsid w:val="00260E2A"/>
    <w:rsid w:val="00341DDD"/>
    <w:rsid w:val="003F30DA"/>
    <w:rsid w:val="00467FB8"/>
    <w:rsid w:val="00471BCE"/>
    <w:rsid w:val="004F16A9"/>
    <w:rsid w:val="00546B5F"/>
    <w:rsid w:val="00675C57"/>
    <w:rsid w:val="006D4FD7"/>
    <w:rsid w:val="0072048F"/>
    <w:rsid w:val="00790847"/>
    <w:rsid w:val="00847E16"/>
    <w:rsid w:val="008D7698"/>
    <w:rsid w:val="00A0186F"/>
    <w:rsid w:val="00A61BE7"/>
    <w:rsid w:val="00AA4E1E"/>
    <w:rsid w:val="00C04580"/>
    <w:rsid w:val="00C3449B"/>
    <w:rsid w:val="00CF7916"/>
    <w:rsid w:val="00D558D7"/>
    <w:rsid w:val="00ED5A9C"/>
    <w:rsid w:val="00F835AE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60</Pages>
  <Words>7564</Words>
  <Characters>43121</Characters>
  <Application>Microsoft Office Word</Application>
  <DocSecurity>0</DocSecurity>
  <Lines>359</Lines>
  <Paragraphs>101</Paragraphs>
  <ScaleCrop>false</ScaleCrop>
  <Company/>
  <LinksUpToDate>false</LinksUpToDate>
  <CharactersWithSpaces>50584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Марченко Вадим Анатольевич</cp:lastModifiedBy>
  <cp:revision>8</cp:revision>
  <dcterms:created xsi:type="dcterms:W3CDTF">2017-04-25T07:30:00Z</dcterms:created>
  <dcterms:modified xsi:type="dcterms:W3CDTF">2017-04-27T12:58:00Z</dcterms:modified>
</cp:coreProperties>
</file>