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668" w:type="dxa"/>
        <w:tblInd w:w="-284" w:type="dxa"/>
        <w:tblLayout w:type="fixed"/>
        <w:tblLook w:val="04A0"/>
      </w:tblPr>
      <w:tblGrid>
        <w:gridCol w:w="105"/>
        <w:gridCol w:w="4384"/>
        <w:gridCol w:w="898"/>
        <w:gridCol w:w="1202"/>
        <w:gridCol w:w="2100"/>
        <w:gridCol w:w="809"/>
        <w:gridCol w:w="1150"/>
        <w:gridCol w:w="20"/>
      </w:tblGrid>
      <w:tr w:rsidR="002B6EBC" w:rsidTr="00A858AE">
        <w:trPr>
          <w:trHeight w:hRule="exact" w:val="75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-1"/>
            </w:pPr>
          </w:p>
        </w:tc>
        <w:tc>
          <w:tcPr>
            <w:tcW w:w="4384" w:type="dxa"/>
            <w:shd w:val="clear" w:color="FFFFFF" w:fill="auto"/>
            <w:vAlign w:val="center"/>
          </w:tcPr>
          <w:p w:rsidR="002B6EBC" w:rsidRDefault="002B6EBC">
            <w:pPr>
              <w:pStyle w:val="1CStyle0"/>
            </w:pPr>
          </w:p>
        </w:tc>
        <w:tc>
          <w:tcPr>
            <w:tcW w:w="2100" w:type="dxa"/>
            <w:gridSpan w:val="2"/>
            <w:shd w:val="clear" w:color="FFFFFF" w:fill="auto"/>
            <w:vAlign w:val="center"/>
          </w:tcPr>
          <w:p w:rsidR="002B6EBC" w:rsidRDefault="002B6EBC">
            <w:pPr>
              <w:pStyle w:val="1CStyle1"/>
              <w:jc w:val="left"/>
            </w:pPr>
          </w:p>
        </w:tc>
        <w:tc>
          <w:tcPr>
            <w:tcW w:w="2100" w:type="dxa"/>
            <w:shd w:val="clear" w:color="FFFFFF" w:fill="auto"/>
            <w:vAlign w:val="center"/>
          </w:tcPr>
          <w:p w:rsidR="002B6EBC" w:rsidRDefault="002B6EBC">
            <w:pPr>
              <w:pStyle w:val="1CStyle1"/>
            </w:pPr>
          </w:p>
        </w:tc>
        <w:tc>
          <w:tcPr>
            <w:tcW w:w="1959" w:type="dxa"/>
            <w:gridSpan w:val="2"/>
            <w:shd w:val="clear" w:color="FFFFFF" w:fill="auto"/>
            <w:vAlign w:val="center"/>
          </w:tcPr>
          <w:p w:rsidR="002B6EBC" w:rsidRDefault="002B6EBC">
            <w:pPr>
              <w:pStyle w:val="1CStyle1"/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2B6EBC" w:rsidRDefault="002B6EBC">
            <w:pPr>
              <w:pStyle w:val="1CStyle1"/>
            </w:pP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"/>
            </w:pPr>
          </w:p>
        </w:tc>
        <w:tc>
          <w:tcPr>
            <w:tcW w:w="9393" w:type="dxa"/>
            <w:gridSpan w:val="5"/>
            <w:shd w:val="clear" w:color="FFFFFF" w:fill="auto"/>
            <w:vAlign w:val="center"/>
          </w:tcPr>
          <w:p w:rsidR="002B6EBC" w:rsidRDefault="00A858AE">
            <w:pPr>
              <w:pStyle w:val="1CStyle3"/>
            </w:pPr>
            <w:r>
              <w:t>ДОПОЛНИТЕЛЬНОЕ СОГЛАШЕНИЕ</w:t>
            </w: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"/>
            </w:pPr>
          </w:p>
        </w:tc>
        <w:tc>
          <w:tcPr>
            <w:tcW w:w="9393" w:type="dxa"/>
            <w:gridSpan w:val="5"/>
            <w:shd w:val="clear" w:color="FFFFFF" w:fill="auto"/>
            <w:vAlign w:val="center"/>
          </w:tcPr>
          <w:p w:rsidR="002B6EBC" w:rsidRDefault="00A858AE" w:rsidP="00A858AE">
            <w:pPr>
              <w:pStyle w:val="1CStyle4"/>
            </w:pPr>
            <w:r>
              <w:t xml:space="preserve">к Договору поставки №                 от </w:t>
            </w:r>
          </w:p>
        </w:tc>
      </w:tr>
      <w:tr w:rsidR="002B6EBC" w:rsidTr="00A858AE">
        <w:trPr>
          <w:trHeight w:hRule="exact" w:val="75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-1"/>
            </w:pPr>
          </w:p>
        </w:tc>
        <w:tc>
          <w:tcPr>
            <w:tcW w:w="8584" w:type="dxa"/>
            <w:gridSpan w:val="4"/>
            <w:shd w:val="clear" w:color="FFFFFF" w:fill="auto"/>
            <w:vAlign w:val="center"/>
          </w:tcPr>
          <w:p w:rsidR="002B6EBC" w:rsidRDefault="002B6EBC">
            <w:pPr>
              <w:pStyle w:val="1CStyle5"/>
            </w:pPr>
          </w:p>
        </w:tc>
        <w:tc>
          <w:tcPr>
            <w:tcW w:w="1959" w:type="dxa"/>
            <w:gridSpan w:val="2"/>
            <w:shd w:val="clear" w:color="FFFFFF" w:fill="auto"/>
            <w:vAlign w:val="center"/>
          </w:tcPr>
          <w:p w:rsidR="002B6EBC" w:rsidRDefault="002B6EBC">
            <w:pPr>
              <w:pStyle w:val="1CStyle6"/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2B6EBC" w:rsidRDefault="002B6EBC">
            <w:pPr>
              <w:pStyle w:val="1CStyle7"/>
            </w:pP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"/>
            </w:pPr>
          </w:p>
        </w:tc>
        <w:tc>
          <w:tcPr>
            <w:tcW w:w="6484" w:type="dxa"/>
            <w:gridSpan w:val="3"/>
            <w:shd w:val="clear" w:color="FFFFFF" w:fill="auto"/>
            <w:vAlign w:val="center"/>
          </w:tcPr>
          <w:p w:rsidR="002B6EBC" w:rsidRDefault="00A858AE">
            <w:pPr>
              <w:pStyle w:val="1CStyle8"/>
              <w:jc w:val="left"/>
            </w:pPr>
            <w:r>
              <w:t>г. Смоленск</w:t>
            </w:r>
          </w:p>
        </w:tc>
        <w:tc>
          <w:tcPr>
            <w:tcW w:w="2909" w:type="dxa"/>
            <w:gridSpan w:val="2"/>
            <w:shd w:val="clear" w:color="FFFFFF" w:fill="auto"/>
            <w:vAlign w:val="center"/>
          </w:tcPr>
          <w:p w:rsidR="002B6EBC" w:rsidRDefault="00A858AE">
            <w:pPr>
              <w:pStyle w:val="1CStyle9"/>
            </w:pPr>
            <w:r>
              <w:t xml:space="preserve"> 2015 г.</w:t>
            </w:r>
          </w:p>
        </w:tc>
      </w:tr>
      <w:tr w:rsidR="002B6EBC" w:rsidTr="00A858AE">
        <w:trPr>
          <w:trHeight w:hRule="exact" w:val="90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10"/>
            </w:pPr>
          </w:p>
        </w:tc>
        <w:tc>
          <w:tcPr>
            <w:tcW w:w="4384" w:type="dxa"/>
            <w:shd w:val="clear" w:color="FFFFFF" w:fill="auto"/>
            <w:vAlign w:val="center"/>
          </w:tcPr>
          <w:p w:rsidR="002B6EBC" w:rsidRDefault="002B6EBC">
            <w:pPr>
              <w:pStyle w:val="1CStyle11"/>
              <w:jc w:val="left"/>
            </w:pPr>
          </w:p>
        </w:tc>
        <w:tc>
          <w:tcPr>
            <w:tcW w:w="2100" w:type="dxa"/>
            <w:gridSpan w:val="2"/>
            <w:shd w:val="clear" w:color="FFFFFF" w:fill="auto"/>
            <w:vAlign w:val="center"/>
          </w:tcPr>
          <w:p w:rsidR="002B6EBC" w:rsidRDefault="002B6EBC">
            <w:pPr>
              <w:pStyle w:val="1CStyle12"/>
              <w:jc w:val="left"/>
            </w:pPr>
          </w:p>
        </w:tc>
        <w:tc>
          <w:tcPr>
            <w:tcW w:w="2100" w:type="dxa"/>
            <w:shd w:val="clear" w:color="FFFFFF" w:fill="auto"/>
            <w:vAlign w:val="center"/>
          </w:tcPr>
          <w:p w:rsidR="002B6EBC" w:rsidRDefault="002B6EBC">
            <w:pPr>
              <w:pStyle w:val="1CStyle12"/>
              <w:jc w:val="left"/>
            </w:pPr>
          </w:p>
        </w:tc>
        <w:tc>
          <w:tcPr>
            <w:tcW w:w="1959" w:type="dxa"/>
            <w:gridSpan w:val="2"/>
            <w:shd w:val="clear" w:color="FFFFFF" w:fill="auto"/>
            <w:vAlign w:val="center"/>
          </w:tcPr>
          <w:p w:rsidR="002B6EBC" w:rsidRDefault="002B6EBC">
            <w:pPr>
              <w:pStyle w:val="1CStyle12"/>
              <w:jc w:val="left"/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2B6EBC" w:rsidRDefault="002B6EBC">
            <w:pPr>
              <w:pStyle w:val="1CStyle12"/>
              <w:jc w:val="left"/>
            </w:pP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"/>
            </w:pPr>
          </w:p>
        </w:tc>
        <w:tc>
          <w:tcPr>
            <w:tcW w:w="9393" w:type="dxa"/>
            <w:gridSpan w:val="5"/>
            <w:shd w:val="clear" w:color="FFFFFF" w:fill="auto"/>
            <w:vAlign w:val="center"/>
          </w:tcPr>
          <w:p w:rsidR="002B6EBC" w:rsidRDefault="00A858AE" w:rsidP="00A858AE">
            <w:pPr>
              <w:pStyle w:val="1CStyle13"/>
            </w:pPr>
            <w:r>
              <w:t>Общество с ограниченной ответственностью "Европейская трейдинговая компания", именуемое в дальнейшем "Поставщик", в лице ________________________________, действующего на основании ____________________________, с одной стороны, и ____________________________, именуемое в дальнейшем "Покупатель", в лице ____________________________, действующего на основании _______________________, с другой стороны, именуемые в дальнейшем "Стороны", заключили настоящее Дополнительное соглашение к Договору поставки № ______от ________ (далее – Договор) о нижеследующем:</w:t>
            </w:r>
          </w:p>
        </w:tc>
      </w:tr>
      <w:tr w:rsidR="002B6EBC" w:rsidTr="00A858AE">
        <w:trPr>
          <w:trHeight w:hRule="exact" w:val="390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14"/>
            </w:pPr>
          </w:p>
        </w:tc>
        <w:tc>
          <w:tcPr>
            <w:tcW w:w="4384" w:type="dxa"/>
            <w:shd w:val="clear" w:color="FFFFFF" w:fill="auto"/>
            <w:vAlign w:val="center"/>
          </w:tcPr>
          <w:p w:rsidR="002B6EBC" w:rsidRDefault="002B6EBC">
            <w:pPr>
              <w:pStyle w:val="1CStyle15"/>
              <w:jc w:val="left"/>
            </w:pPr>
          </w:p>
        </w:tc>
        <w:tc>
          <w:tcPr>
            <w:tcW w:w="2100" w:type="dxa"/>
            <w:gridSpan w:val="2"/>
            <w:shd w:val="clear" w:color="FFFFFF" w:fill="auto"/>
            <w:vAlign w:val="center"/>
          </w:tcPr>
          <w:p w:rsidR="002B6EBC" w:rsidRDefault="002B6EBC">
            <w:pPr>
              <w:pStyle w:val="1CStyle16"/>
              <w:jc w:val="left"/>
            </w:pPr>
          </w:p>
        </w:tc>
        <w:tc>
          <w:tcPr>
            <w:tcW w:w="2100" w:type="dxa"/>
            <w:shd w:val="clear" w:color="FFFFFF" w:fill="auto"/>
            <w:vAlign w:val="center"/>
          </w:tcPr>
          <w:p w:rsidR="002B6EBC" w:rsidRDefault="002B6EBC">
            <w:pPr>
              <w:pStyle w:val="1CStyle16"/>
              <w:jc w:val="left"/>
            </w:pPr>
          </w:p>
        </w:tc>
        <w:tc>
          <w:tcPr>
            <w:tcW w:w="1959" w:type="dxa"/>
            <w:gridSpan w:val="2"/>
            <w:shd w:val="clear" w:color="FFFFFF" w:fill="auto"/>
            <w:vAlign w:val="center"/>
          </w:tcPr>
          <w:p w:rsidR="002B6EBC" w:rsidRDefault="002B6EBC">
            <w:pPr>
              <w:pStyle w:val="1CStyle16"/>
              <w:jc w:val="left"/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2B6EBC" w:rsidRDefault="002B6EBC">
            <w:pPr>
              <w:pStyle w:val="1CStyle16"/>
              <w:jc w:val="left"/>
            </w:pP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17"/>
            </w:pPr>
          </w:p>
        </w:tc>
        <w:tc>
          <w:tcPr>
            <w:tcW w:w="9393" w:type="dxa"/>
            <w:gridSpan w:val="5"/>
            <w:shd w:val="clear" w:color="FFFFFF" w:fill="auto"/>
            <w:vAlign w:val="center"/>
          </w:tcPr>
          <w:p w:rsidR="002B6EBC" w:rsidRDefault="00A858AE">
            <w:pPr>
              <w:pStyle w:val="1CStyle18"/>
            </w:pPr>
            <w:r>
              <w:t>1. ПРЕДМЕТ ДОПОЛНИТЕЛЬНОГО СОГЛАШЕНИЯ</w:t>
            </w: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17"/>
            </w:pPr>
          </w:p>
        </w:tc>
        <w:tc>
          <w:tcPr>
            <w:tcW w:w="9393" w:type="dxa"/>
            <w:gridSpan w:val="5"/>
            <w:shd w:val="clear" w:color="FFFFFF" w:fill="auto"/>
            <w:vAlign w:val="center"/>
          </w:tcPr>
          <w:p w:rsidR="002B6EBC" w:rsidRDefault="00A858AE">
            <w:pPr>
              <w:pStyle w:val="1CStyle19"/>
            </w:pPr>
            <w:r>
              <w:t>1. При поставке Товара на условиях «франко-вагон промежуточная станция» Покупатель сверх стоимости Товара оплачивает Поставщику Расходы Поставщика и Вознаграждение Поставщика, где:</w:t>
            </w:r>
          </w:p>
        </w:tc>
      </w:tr>
      <w:tr w:rsidR="002B6EBC" w:rsidTr="00A858AE">
        <w:trPr>
          <w:gridAfter w:val="2"/>
          <w:wAfter w:w="1170" w:type="dxa"/>
          <w:trHeight w:hRule="exact" w:val="1413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0"/>
            </w:pPr>
          </w:p>
        </w:tc>
        <w:tc>
          <w:tcPr>
            <w:tcW w:w="9393" w:type="dxa"/>
            <w:gridSpan w:val="5"/>
            <w:shd w:val="clear" w:color="FFFFFF" w:fill="auto"/>
            <w:vAlign w:val="bottom"/>
          </w:tcPr>
          <w:p w:rsidR="002B6EBC" w:rsidRDefault="00A858AE">
            <w:pPr>
              <w:pStyle w:val="1CStyle21"/>
            </w:pPr>
            <w:r>
              <w:t xml:space="preserve">Расходы Поставщика – фактические расходы, понесенные Поставщиком при организации </w:t>
            </w:r>
            <w:r w:rsidR="00D42332">
              <w:t>транспортно-экспедиционных услуг по доставке</w:t>
            </w:r>
            <w:r>
              <w:t xml:space="preserve"> Товара и не включенные в цену Товара, в том числе расходы Поставщика по выплате вознаграждения третьим лицам, с которыми он заключил договоры на организацию </w:t>
            </w:r>
            <w:r w:rsidR="00D42332">
              <w:t>транспортно-экспедиционных услуг по доставке</w:t>
            </w:r>
            <w:r>
              <w:t xml:space="preserve"> Товара и затраты по возврату порожних арендованных цистерн в адрес грузоотправителя.</w:t>
            </w:r>
          </w:p>
          <w:p w:rsidR="00A858AE" w:rsidRDefault="00A858AE">
            <w:pPr>
              <w:pStyle w:val="1CStyle21"/>
            </w:pPr>
          </w:p>
          <w:p w:rsidR="00A858AE" w:rsidRDefault="00A858AE">
            <w:pPr>
              <w:pStyle w:val="1CStyle21"/>
            </w:pPr>
          </w:p>
          <w:p w:rsidR="00A858AE" w:rsidRDefault="00A858AE">
            <w:pPr>
              <w:pStyle w:val="1CStyle21"/>
            </w:pPr>
          </w:p>
          <w:p w:rsidR="00A858AE" w:rsidRDefault="00A858AE">
            <w:pPr>
              <w:pStyle w:val="1CStyle21"/>
            </w:pPr>
          </w:p>
          <w:p w:rsidR="00A858AE" w:rsidRDefault="00A858AE">
            <w:pPr>
              <w:pStyle w:val="1CStyle21"/>
            </w:pPr>
          </w:p>
          <w:p w:rsidR="00A858AE" w:rsidRDefault="00A858AE">
            <w:pPr>
              <w:pStyle w:val="1CStyle21"/>
            </w:pPr>
          </w:p>
          <w:p w:rsidR="00A858AE" w:rsidRDefault="00A858AE">
            <w:pPr>
              <w:pStyle w:val="1CStyle21"/>
            </w:pPr>
          </w:p>
          <w:p w:rsidR="00A858AE" w:rsidRDefault="00A858AE">
            <w:pPr>
              <w:pStyle w:val="1CStyle21"/>
            </w:pPr>
          </w:p>
          <w:p w:rsidR="00A858AE" w:rsidRDefault="00A858AE">
            <w:pPr>
              <w:pStyle w:val="1CStyle21"/>
            </w:pPr>
          </w:p>
          <w:p w:rsidR="00A858AE" w:rsidRDefault="00A858AE">
            <w:pPr>
              <w:pStyle w:val="1CStyle21"/>
            </w:pP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17"/>
            </w:pPr>
          </w:p>
        </w:tc>
        <w:tc>
          <w:tcPr>
            <w:tcW w:w="9393" w:type="dxa"/>
            <w:gridSpan w:val="5"/>
            <w:shd w:val="clear" w:color="FFFFFF" w:fill="auto"/>
            <w:vAlign w:val="center"/>
          </w:tcPr>
          <w:p w:rsidR="002B6EBC" w:rsidRDefault="00A858AE">
            <w:pPr>
              <w:pStyle w:val="1CStyle22"/>
            </w:pPr>
            <w:r>
              <w:t xml:space="preserve">Вознаграждение Поставщика - вознаграждение Поставщика за услуги по организации </w:t>
            </w:r>
            <w:r w:rsidR="00D42332">
              <w:t>транспортно-экспедиционных услуг по доставке</w:t>
            </w:r>
            <w:r>
              <w:t xml:space="preserve"> Товара в размере 2 % (в том числе НДС по ставке, утвержденной действующим законодательством) от суммы расходов, указанной в документах, подтверждающих расходы Поставщика при организации </w:t>
            </w:r>
            <w:r w:rsidR="00D42332">
              <w:t>транспортно-экспедиционных услуг по доставке</w:t>
            </w:r>
            <w:r>
              <w:t xml:space="preserve"> Товара по настоящему Договору.</w:t>
            </w:r>
          </w:p>
        </w:tc>
      </w:tr>
      <w:tr w:rsidR="002B6EBC" w:rsidTr="00A858AE">
        <w:trPr>
          <w:trHeight w:hRule="exact" w:val="100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3"/>
            </w:pPr>
          </w:p>
        </w:tc>
        <w:tc>
          <w:tcPr>
            <w:tcW w:w="4384" w:type="dxa"/>
            <w:shd w:val="clear" w:color="FFFFFF" w:fill="auto"/>
            <w:vAlign w:val="center"/>
          </w:tcPr>
          <w:p w:rsidR="002B6EBC" w:rsidRDefault="002B6EBC">
            <w:pPr>
              <w:pStyle w:val="1CStyle24"/>
            </w:pPr>
          </w:p>
        </w:tc>
        <w:tc>
          <w:tcPr>
            <w:tcW w:w="2100" w:type="dxa"/>
            <w:gridSpan w:val="2"/>
            <w:shd w:val="clear" w:color="FFFFFF" w:fill="auto"/>
            <w:vAlign w:val="center"/>
          </w:tcPr>
          <w:p w:rsidR="002B6EBC" w:rsidRDefault="002B6EBC">
            <w:pPr>
              <w:pStyle w:val="1CStyle25"/>
            </w:pPr>
          </w:p>
        </w:tc>
        <w:tc>
          <w:tcPr>
            <w:tcW w:w="2100" w:type="dxa"/>
            <w:shd w:val="clear" w:color="FFFFFF" w:fill="auto"/>
            <w:vAlign w:val="center"/>
          </w:tcPr>
          <w:p w:rsidR="002B6EBC" w:rsidRDefault="002B6EBC">
            <w:pPr>
              <w:pStyle w:val="1CStyle25"/>
            </w:pPr>
          </w:p>
        </w:tc>
        <w:tc>
          <w:tcPr>
            <w:tcW w:w="1959" w:type="dxa"/>
            <w:gridSpan w:val="2"/>
            <w:shd w:val="clear" w:color="FFFFFF" w:fill="auto"/>
            <w:vAlign w:val="center"/>
          </w:tcPr>
          <w:p w:rsidR="002B6EBC" w:rsidRDefault="002B6EBC">
            <w:pPr>
              <w:pStyle w:val="1CStyle25"/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2B6EBC" w:rsidRDefault="002B6EBC">
            <w:pPr>
              <w:pStyle w:val="1CStyle25"/>
            </w:pP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6"/>
            </w:pPr>
          </w:p>
        </w:tc>
        <w:tc>
          <w:tcPr>
            <w:tcW w:w="9393" w:type="dxa"/>
            <w:gridSpan w:val="5"/>
            <w:shd w:val="clear" w:color="FFFFFF" w:fill="auto"/>
          </w:tcPr>
          <w:p w:rsidR="002B6EBC" w:rsidRDefault="00A858AE">
            <w:pPr>
              <w:pStyle w:val="1CStyle27"/>
            </w:pPr>
            <w:r>
              <w:t>2. Оплата Расходов поставщика и Вознаграждения поставщика производится Покупателем на условиях 100% предоплаты путем перечисления денежных средств непосредственно на расчетный счет Поставщика.</w:t>
            </w: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8"/>
            </w:pPr>
          </w:p>
        </w:tc>
        <w:tc>
          <w:tcPr>
            <w:tcW w:w="9393" w:type="dxa"/>
            <w:gridSpan w:val="5"/>
            <w:shd w:val="clear" w:color="FFFFFF" w:fill="auto"/>
            <w:vAlign w:val="center"/>
          </w:tcPr>
          <w:p w:rsidR="002B6EBC" w:rsidRDefault="00A858AE">
            <w:pPr>
              <w:pStyle w:val="1CStyle29"/>
            </w:pPr>
            <w:r>
              <w:t>3. Датой (моментом) оплаты считается дата поступления денежных средств на расчетный счет Поставщика.</w:t>
            </w:r>
            <w:bookmarkStart w:id="0" w:name="_GoBack"/>
            <w:bookmarkEnd w:id="0"/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8"/>
            </w:pPr>
          </w:p>
        </w:tc>
        <w:tc>
          <w:tcPr>
            <w:tcW w:w="9393" w:type="dxa"/>
            <w:gridSpan w:val="5"/>
            <w:shd w:val="clear" w:color="FFFFFF" w:fill="auto"/>
            <w:vAlign w:val="center"/>
          </w:tcPr>
          <w:p w:rsidR="002B6EBC" w:rsidRDefault="00A858AE">
            <w:pPr>
              <w:pStyle w:val="1CStyle30"/>
            </w:pPr>
            <w:r>
              <w:t>4. Поставщик обязуется выставить Покупателю счет на 100%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заявки. Расходы и Вознаграждение поставщика, указанные в счете на оплату, определяются Поставщиком расчетным путем на основании предоставленных Покупателем реквизитных заявок, расчетных значений ж/д тарифов, стоимости ЗПУ, охраны и т.д. При окончательных расчетах используется фактическая величина упомянутых расходов.</w:t>
            </w: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17"/>
            </w:pPr>
          </w:p>
        </w:tc>
        <w:tc>
          <w:tcPr>
            <w:tcW w:w="9393" w:type="dxa"/>
            <w:gridSpan w:val="5"/>
            <w:shd w:val="clear" w:color="FFFFFF" w:fill="auto"/>
          </w:tcPr>
          <w:p w:rsidR="002B6EBC" w:rsidRDefault="00A858AE" w:rsidP="00D42332">
            <w:pPr>
              <w:pStyle w:val="1CStyle31"/>
            </w:pPr>
            <w:r>
              <w:t xml:space="preserve">5. Если на дату выставления Поставщиком счета на оплату невозможно рассчитать расходы по организации </w:t>
            </w:r>
            <w:r w:rsidR="00D42332">
              <w:t>транспортно-экспедиционных услуг по доставке</w:t>
            </w:r>
            <w:r>
              <w:t xml:space="preserve"> Товара (Покупатель к этому моменту не предоставил Поставщику отгрузочные разнарядки или не указал пункт доставки Товара), Поставщик в данном счете имеет право указать ориентировочную величину этих расходов. Покупатель, в свою очередь, в случае определения пункта назначения или иных параметров, позволяющих определить расчетную величину этих расходов до истечения срока оплаты, имеет право оплачивать расходы по организации </w:t>
            </w:r>
            <w:r w:rsidR="00D42332">
              <w:t>транспортно-экспедиционных услуг по доставке</w:t>
            </w:r>
            <w:r>
              <w:t xml:space="preserve"> Товара исходя из расчетных значений ж/д тарифов и других расходов по организации </w:t>
            </w:r>
            <w:r w:rsidR="00D42332">
              <w:t>транспортно-экспедиционных услуг</w:t>
            </w:r>
            <w:r>
              <w:t xml:space="preserve">. В случае, если до истечения срока оплаты счета Покупатель не обеспечил возможность расчета величины расходов по организации </w:t>
            </w:r>
            <w:r w:rsidR="00D42332">
              <w:t>транспортно-экспедиционных услуг по доставке</w:t>
            </w:r>
            <w:r>
              <w:t xml:space="preserve"> Товара (не указал пункт назначения, не предоставил </w:t>
            </w:r>
            <w:r>
              <w:lastRenderedPageBreak/>
              <w:t>отгрузочные разнарядки, не совершил иные необходимые действия), он обязан оплатить это расходы в сумме, указанной в счете Поставщика.</w:t>
            </w: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"/>
            </w:pPr>
          </w:p>
        </w:tc>
        <w:tc>
          <w:tcPr>
            <w:tcW w:w="9393" w:type="dxa"/>
            <w:gridSpan w:val="5"/>
            <w:shd w:val="clear" w:color="FFFFFF" w:fill="auto"/>
            <w:vAlign w:val="center"/>
          </w:tcPr>
          <w:p w:rsidR="002B6EBC" w:rsidRDefault="00A858AE">
            <w:pPr>
              <w:pStyle w:val="1CStyle32"/>
            </w:pPr>
            <w:r>
              <w:t>6. Покупатель обязан оплатить указанные в счете Расходы поставщика и Вознаграждение поставщика. Фактом оплаты считается поступление денежных средств на банковский счет Поставщика не позднее окончания банковского операционного дня, являющегося Датой обеспечения сделки для Покупателя.</w:t>
            </w: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"/>
            </w:pPr>
          </w:p>
        </w:tc>
        <w:tc>
          <w:tcPr>
            <w:tcW w:w="9393" w:type="dxa"/>
            <w:gridSpan w:val="5"/>
            <w:shd w:val="clear" w:color="FFFFFF" w:fill="auto"/>
            <w:vAlign w:val="center"/>
          </w:tcPr>
          <w:p w:rsidR="002B6EBC" w:rsidRDefault="00A858AE">
            <w:pPr>
              <w:pStyle w:val="1CStyle32"/>
            </w:pPr>
            <w:r>
              <w:t>7. В платежных поручениях на оплату Покупатель должен указывать номер настоящего договора, дату его заключения, сумму НДС, номер и дату счета-фактуры или счета (при его наличии) и назначение платежа строго в соответствии со счетом/счетом-фактурой.</w:t>
            </w: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"/>
            </w:pPr>
          </w:p>
        </w:tc>
        <w:tc>
          <w:tcPr>
            <w:tcW w:w="9393" w:type="dxa"/>
            <w:gridSpan w:val="5"/>
            <w:shd w:val="clear" w:color="FFFFFF" w:fill="auto"/>
            <w:vAlign w:val="center"/>
          </w:tcPr>
          <w:p w:rsidR="002B6EBC" w:rsidRDefault="00A858AE">
            <w:pPr>
              <w:pStyle w:val="1CStyle32"/>
            </w:pPr>
            <w:r>
              <w:t xml:space="preserve">8. Расходы поставщика включаются в Отчет о фактически понесенных расходах, направляемый Покупателю, по мере их получения от транспортных организаций и/или третьих лиц (организаций, с которыми у Поставщика заключен договор на организацию </w:t>
            </w:r>
            <w:r w:rsidR="00D42332">
              <w:t>транспортно-экспедиционных услуг по доставке</w:t>
            </w:r>
            <w:r w:rsidR="00C83A6D">
              <w:t xml:space="preserve"> Товара</w:t>
            </w:r>
            <w:r>
              <w:t>).</w:t>
            </w: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"/>
            </w:pPr>
          </w:p>
        </w:tc>
        <w:tc>
          <w:tcPr>
            <w:tcW w:w="9393" w:type="dxa"/>
            <w:gridSpan w:val="5"/>
            <w:shd w:val="clear" w:color="FFFFFF" w:fill="auto"/>
            <w:vAlign w:val="center"/>
          </w:tcPr>
          <w:p w:rsidR="002B6EBC" w:rsidRDefault="00A858AE">
            <w:pPr>
              <w:pStyle w:val="1CStyle32"/>
            </w:pPr>
            <w:r>
              <w:t>9. Документальным подтверждением Расходов Поставщика, оплачиваемых Покупателем, будут являться, акты оказанных услуг, перечни к ним и заверенные копии счетов-фактур от фактических поставщиков услуг, подтверждающие расходы Поставщика, предъявленные им Покупателю к оплате (возмещению).</w:t>
            </w: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"/>
            </w:pPr>
          </w:p>
        </w:tc>
        <w:tc>
          <w:tcPr>
            <w:tcW w:w="9393" w:type="dxa"/>
            <w:gridSpan w:val="5"/>
            <w:shd w:val="clear" w:color="FFFFFF" w:fill="auto"/>
            <w:vAlign w:val="center"/>
          </w:tcPr>
          <w:p w:rsidR="002B6EBC" w:rsidRDefault="00A858AE">
            <w:pPr>
              <w:pStyle w:val="1CStyle32"/>
            </w:pPr>
            <w:r>
              <w:t>10. Документы, подтверждающие Расходы Поставщика представляются Поставщиком по запросу Покупателя. Указанный запрос должен быть направлен Покупателем Поставщику в течение 7 (семи) дней с даты получения от Поставщика Отчета о фактически понесенных расходах.</w:t>
            </w: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"/>
            </w:pPr>
          </w:p>
        </w:tc>
        <w:tc>
          <w:tcPr>
            <w:tcW w:w="9393" w:type="dxa"/>
            <w:gridSpan w:val="5"/>
            <w:shd w:val="clear" w:color="FFFFFF" w:fill="auto"/>
            <w:vAlign w:val="center"/>
          </w:tcPr>
          <w:p w:rsidR="002B6EBC" w:rsidRDefault="00A858AE">
            <w:pPr>
              <w:pStyle w:val="1CStyle32"/>
            </w:pPr>
            <w:r>
              <w:t>11. Поставщик не позднее 15-го числа месяца, следующего за отчетным, составляет и направляет в адрес Покупателя Отчет о фактически понесенных расходах, акт сдачи-приемки выполненных услуг, а также, в срок установленный законодательством РФ, выставляет Покупателю счет-фактуру на возмещение Расходов Поставщика и Вознаграждения Поставщика. Покупатель, в течение 3 (трех) календарных дней с даты получения Отчета о фактически понесенных расходах и акта сдачи-приемки выполненных услуг, обязан надлежащим образом их подписать, скрепить печатью и вернуть один экземпляр Поставщику. Не подписание Покупателем Отчета о фактически понесенных расходах и акта сдачи-приемки выполненных услуг или не возвращение их Поставщику в установленные настоящим пунктом сроки означает их принятие Покупателем.</w:t>
            </w: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"/>
            </w:pPr>
          </w:p>
        </w:tc>
        <w:tc>
          <w:tcPr>
            <w:tcW w:w="9393" w:type="dxa"/>
            <w:gridSpan w:val="5"/>
            <w:shd w:val="clear" w:color="FFFFFF" w:fill="auto"/>
            <w:vAlign w:val="center"/>
          </w:tcPr>
          <w:p w:rsidR="002B6EBC" w:rsidRDefault="00A858AE" w:rsidP="00C83A6D">
            <w:pPr>
              <w:pStyle w:val="1CStyle32"/>
            </w:pPr>
            <w:r>
              <w:t>12. Если Покупатель не согласен с Отчетом о фактически понесенных расходах и актом сдачи-приемки выполненных услуг, он должен в течение 3-х (трех) рабочих дней с даты получения Отчета о фактически понесенных расходах и акта сдачи-приемки выполненных услуг, письменно направить Поставщику свои мотиви</w:t>
            </w:r>
            <w:r w:rsidR="00C83A6D">
              <w:t>рованные возражения (замечания).</w:t>
            </w:r>
            <w:r>
              <w:t xml:space="preserve"> </w:t>
            </w:r>
            <w:r w:rsidR="00C83A6D">
              <w:t>В</w:t>
            </w:r>
            <w:r>
              <w:t xml:space="preserve"> противном случае Отчет о фактически понесенных расходах и акт сдачи-приемки выполненных услуг считается принятым (утвержденным) Покупателем. Своевременное предоставление Покупателем мотивированных возражений откладывает утверждение Отчета о фактически понесенных расходах и акта сдачи-приемки выполненных услуг на срок их устранения.</w:t>
            </w: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"/>
            </w:pPr>
          </w:p>
        </w:tc>
        <w:tc>
          <w:tcPr>
            <w:tcW w:w="9393" w:type="dxa"/>
            <w:gridSpan w:val="5"/>
            <w:shd w:val="clear" w:color="FFFFFF" w:fill="auto"/>
            <w:vAlign w:val="center"/>
          </w:tcPr>
          <w:p w:rsidR="002B6EBC" w:rsidRDefault="00A858AE" w:rsidP="00C83A6D">
            <w:pPr>
              <w:pStyle w:val="1CStyle32"/>
            </w:pPr>
            <w:r>
              <w:t>13.  Поставщик обязу</w:t>
            </w:r>
            <w:r w:rsidR="00C83A6D">
              <w:t>е</w:t>
            </w:r>
            <w:r>
              <w:t>тся в срок до 25 числа каждого месяца, следующего за месяцем поставки Товара, составлять акт сверки по Расходам и Вознаграждению Поставщика за месяц поставки и предоставлять 2 экземпляра в адрес Покупателя. Покупатель обязуется подписанный со своей стороны экземпляр вернуть в адрес Поставщика до 30 числа каждого месяца, следующего за месяцем поставки нефтепродуктов.</w:t>
            </w: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"/>
            </w:pPr>
          </w:p>
        </w:tc>
        <w:tc>
          <w:tcPr>
            <w:tcW w:w="9393" w:type="dxa"/>
            <w:gridSpan w:val="5"/>
            <w:shd w:val="clear" w:color="FFFFFF" w:fill="auto"/>
            <w:vAlign w:val="center"/>
          </w:tcPr>
          <w:p w:rsidR="002B6EBC" w:rsidRDefault="00A858AE">
            <w:pPr>
              <w:pStyle w:val="1CStyle32"/>
            </w:pPr>
            <w:r>
              <w:t>14. В случае предоставления Покупателем реквизитных заявок на отгрузку Товара в адрес грузополучателей, находящихся на территории Калининградской области, транспортировка Товара по территории Республики Беларусь и Республики Литва осуществляется по выбору Поставщика: либо Покупателем самостоятельно и за свой счёт, либо Поставщиком за счёт Покупателя.</w:t>
            </w: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"/>
            </w:pPr>
          </w:p>
        </w:tc>
        <w:tc>
          <w:tcPr>
            <w:tcW w:w="9393" w:type="dxa"/>
            <w:gridSpan w:val="5"/>
            <w:shd w:val="clear" w:color="FFFFFF" w:fill="auto"/>
            <w:vAlign w:val="center"/>
          </w:tcPr>
          <w:p w:rsidR="002B6EBC" w:rsidRDefault="00A858AE">
            <w:pPr>
              <w:pStyle w:val="1CStyle32"/>
            </w:pPr>
            <w:r>
              <w:t>15. Настоящее Дополнительное соглашение составлено в 2-х экземплярах по одному экземпляру для каждой из Сторон, и является неотъемлемой частью Договора.</w:t>
            </w: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"/>
            </w:pPr>
          </w:p>
        </w:tc>
        <w:tc>
          <w:tcPr>
            <w:tcW w:w="9393" w:type="dxa"/>
            <w:gridSpan w:val="5"/>
            <w:shd w:val="clear" w:color="FFFFFF" w:fill="auto"/>
            <w:vAlign w:val="center"/>
          </w:tcPr>
          <w:p w:rsidR="002B6EBC" w:rsidRDefault="00A858AE">
            <w:pPr>
              <w:pStyle w:val="1CStyle32"/>
            </w:pPr>
            <w:r>
              <w:t>16.  Во всем остальном, что не предусмотрено настоящим Дополнительным соглашением, Стороны руководствуются положениями Договора и Приложений к нему.</w:t>
            </w: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"/>
            </w:pPr>
          </w:p>
        </w:tc>
        <w:tc>
          <w:tcPr>
            <w:tcW w:w="9393" w:type="dxa"/>
            <w:gridSpan w:val="5"/>
            <w:shd w:val="clear" w:color="FFFFFF" w:fill="auto"/>
            <w:vAlign w:val="center"/>
          </w:tcPr>
          <w:p w:rsidR="002B6EBC" w:rsidRDefault="002B6EBC">
            <w:pPr>
              <w:pStyle w:val="1CStyle32"/>
            </w:pP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"/>
            </w:pPr>
          </w:p>
        </w:tc>
        <w:tc>
          <w:tcPr>
            <w:tcW w:w="9393" w:type="dxa"/>
            <w:gridSpan w:val="5"/>
            <w:shd w:val="clear" w:color="FFFFFF" w:fill="auto"/>
            <w:vAlign w:val="center"/>
          </w:tcPr>
          <w:p w:rsidR="002B6EBC" w:rsidRDefault="002B6EBC">
            <w:pPr>
              <w:pStyle w:val="1CStyle32"/>
            </w:pPr>
          </w:p>
        </w:tc>
      </w:tr>
      <w:tr w:rsidR="002B6EBC" w:rsidTr="00A858AE"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"/>
            </w:pPr>
          </w:p>
        </w:tc>
        <w:tc>
          <w:tcPr>
            <w:tcW w:w="4384" w:type="dxa"/>
            <w:shd w:val="clear" w:color="FFFFFF" w:fill="auto"/>
            <w:vAlign w:val="center"/>
          </w:tcPr>
          <w:p w:rsidR="002B6EBC" w:rsidRDefault="00A858AE">
            <w:pPr>
              <w:pStyle w:val="1CStyle33"/>
            </w:pPr>
            <w:r>
              <w:t>Поставщик</w:t>
            </w:r>
          </w:p>
        </w:tc>
        <w:tc>
          <w:tcPr>
            <w:tcW w:w="898" w:type="dxa"/>
            <w:shd w:val="clear" w:color="FFFFFF" w:fill="auto"/>
            <w:vAlign w:val="center"/>
          </w:tcPr>
          <w:p w:rsidR="002B6EBC" w:rsidRDefault="002B6EBC">
            <w:pPr>
              <w:pStyle w:val="1CStyle34"/>
            </w:pPr>
          </w:p>
        </w:tc>
        <w:tc>
          <w:tcPr>
            <w:tcW w:w="3302" w:type="dxa"/>
            <w:gridSpan w:val="2"/>
            <w:shd w:val="clear" w:color="FFFFFF" w:fill="auto"/>
            <w:vAlign w:val="center"/>
          </w:tcPr>
          <w:p w:rsidR="002B6EBC" w:rsidRDefault="00A858AE">
            <w:pPr>
              <w:pStyle w:val="1CStyle35"/>
            </w:pPr>
            <w:r>
              <w:t>Покупатель</w:t>
            </w:r>
          </w:p>
        </w:tc>
        <w:tc>
          <w:tcPr>
            <w:tcW w:w="1959" w:type="dxa"/>
            <w:gridSpan w:val="2"/>
            <w:shd w:val="clear" w:color="FFFFFF" w:fill="auto"/>
            <w:vAlign w:val="center"/>
          </w:tcPr>
          <w:p w:rsidR="002B6EBC" w:rsidRDefault="002B6EBC">
            <w:pPr>
              <w:pStyle w:val="1CStyle34"/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2B6EBC" w:rsidRDefault="002B6EBC">
            <w:pPr>
              <w:pStyle w:val="1CStyle36"/>
            </w:pP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"/>
            </w:pPr>
          </w:p>
        </w:tc>
        <w:tc>
          <w:tcPr>
            <w:tcW w:w="5282" w:type="dxa"/>
            <w:gridSpan w:val="2"/>
            <w:shd w:val="clear" w:color="FFFFFF" w:fill="auto"/>
            <w:vAlign w:val="center"/>
          </w:tcPr>
          <w:p w:rsidR="00A858AE" w:rsidRDefault="00A858AE">
            <w:pPr>
              <w:pStyle w:val="1CStyle37"/>
            </w:pPr>
            <w:r>
              <w:t>Общество с ограниченной ответственностью</w:t>
            </w:r>
          </w:p>
          <w:p w:rsidR="002B6EBC" w:rsidRDefault="00A858AE">
            <w:pPr>
              <w:pStyle w:val="1CStyle37"/>
            </w:pPr>
            <w:r>
              <w:t>"Европейская трейдинговая компания"</w:t>
            </w:r>
          </w:p>
        </w:tc>
        <w:tc>
          <w:tcPr>
            <w:tcW w:w="4111" w:type="dxa"/>
            <w:gridSpan w:val="3"/>
            <w:shd w:val="clear" w:color="FFFFFF" w:fill="auto"/>
            <w:vAlign w:val="center"/>
          </w:tcPr>
          <w:p w:rsidR="002B6EBC" w:rsidRDefault="002B6EBC">
            <w:pPr>
              <w:pStyle w:val="1CStyle38"/>
            </w:pPr>
          </w:p>
        </w:tc>
      </w:tr>
      <w:tr w:rsidR="002B6EBC" w:rsidTr="00A858AE">
        <w:trPr>
          <w:gridAfter w:val="2"/>
          <w:wAfter w:w="1170" w:type="dxa"/>
        </w:trPr>
        <w:tc>
          <w:tcPr>
            <w:tcW w:w="105" w:type="dxa"/>
            <w:shd w:val="clear" w:color="FFFFFF" w:fill="auto"/>
            <w:vAlign w:val="center"/>
          </w:tcPr>
          <w:p w:rsidR="002B6EBC" w:rsidRDefault="002B6EBC">
            <w:pPr>
              <w:pStyle w:val="1CStyle2"/>
            </w:pPr>
          </w:p>
        </w:tc>
        <w:tc>
          <w:tcPr>
            <w:tcW w:w="5282" w:type="dxa"/>
            <w:gridSpan w:val="2"/>
            <w:shd w:val="clear" w:color="FFFFFF" w:fill="auto"/>
            <w:vAlign w:val="center"/>
          </w:tcPr>
          <w:p w:rsidR="00A858AE" w:rsidRDefault="00A858AE" w:rsidP="00A858AE">
            <w:pPr>
              <w:pStyle w:val="1CStyle39"/>
            </w:pPr>
          </w:p>
          <w:p w:rsidR="00A858AE" w:rsidRDefault="00A858AE" w:rsidP="00A858AE">
            <w:pPr>
              <w:pStyle w:val="1CStyle39"/>
            </w:pPr>
          </w:p>
          <w:p w:rsidR="00A858AE" w:rsidRDefault="00A858AE" w:rsidP="00A858AE">
            <w:pPr>
              <w:pStyle w:val="1CStyle39"/>
            </w:pPr>
            <w:r>
              <w:t>_____________________/___________________</w:t>
            </w:r>
          </w:p>
        </w:tc>
        <w:tc>
          <w:tcPr>
            <w:tcW w:w="4111" w:type="dxa"/>
            <w:gridSpan w:val="3"/>
            <w:shd w:val="clear" w:color="FFFFFF" w:fill="auto"/>
            <w:vAlign w:val="center"/>
          </w:tcPr>
          <w:p w:rsidR="002B6EBC" w:rsidRDefault="002B6EBC">
            <w:pPr>
              <w:pStyle w:val="1CStyle40"/>
            </w:pPr>
          </w:p>
        </w:tc>
      </w:tr>
      <w:tr w:rsidR="002B6EBC" w:rsidTr="00A858AE">
        <w:tc>
          <w:tcPr>
            <w:tcW w:w="105" w:type="dxa"/>
            <w:shd w:val="clear" w:color="FFFFFF" w:fill="auto"/>
          </w:tcPr>
          <w:p w:rsidR="002B6EBC" w:rsidRDefault="002B6EBC">
            <w:pPr>
              <w:pStyle w:val="1CStyle41"/>
            </w:pPr>
          </w:p>
        </w:tc>
        <w:tc>
          <w:tcPr>
            <w:tcW w:w="4384" w:type="dxa"/>
            <w:shd w:val="clear" w:color="FFFFFF" w:fill="auto"/>
          </w:tcPr>
          <w:p w:rsidR="002B6EBC" w:rsidRPr="00A858AE" w:rsidRDefault="00A858AE" w:rsidP="00A858AE">
            <w:pPr>
              <w:pStyle w:val="1CStyle42"/>
              <w:tabs>
                <w:tab w:val="left" w:pos="390"/>
              </w:tabs>
              <w:jc w:val="left"/>
              <w:rPr>
                <w:sz w:val="20"/>
                <w:szCs w:val="20"/>
              </w:rPr>
            </w:pPr>
            <w:r>
              <w:tab/>
            </w:r>
            <w:r w:rsidRPr="00A858AE">
              <w:rPr>
                <w:sz w:val="20"/>
                <w:szCs w:val="20"/>
              </w:rPr>
              <w:t>Подпись                                 Ф.И.О.</w:t>
            </w:r>
          </w:p>
        </w:tc>
        <w:tc>
          <w:tcPr>
            <w:tcW w:w="898" w:type="dxa"/>
            <w:shd w:val="clear" w:color="FFFFFF" w:fill="auto"/>
          </w:tcPr>
          <w:p w:rsidR="002B6EBC" w:rsidRDefault="002B6EBC">
            <w:pPr>
              <w:pStyle w:val="1CStyle43"/>
            </w:pPr>
          </w:p>
        </w:tc>
        <w:tc>
          <w:tcPr>
            <w:tcW w:w="5261" w:type="dxa"/>
            <w:gridSpan w:val="4"/>
            <w:shd w:val="clear" w:color="FFFFFF" w:fill="auto"/>
          </w:tcPr>
          <w:p w:rsidR="002B6EBC" w:rsidRDefault="002B6EBC">
            <w:pPr>
              <w:pStyle w:val="1CStyle43"/>
            </w:pPr>
          </w:p>
        </w:tc>
        <w:tc>
          <w:tcPr>
            <w:tcW w:w="20" w:type="dxa"/>
            <w:shd w:val="clear" w:color="FFFFFF" w:fill="auto"/>
          </w:tcPr>
          <w:p w:rsidR="002B6EBC" w:rsidRDefault="002B6EBC">
            <w:pPr>
              <w:pStyle w:val="1CStyle43"/>
              <w:jc w:val="left"/>
            </w:pPr>
          </w:p>
        </w:tc>
      </w:tr>
    </w:tbl>
    <w:p w:rsidR="006F138B" w:rsidRDefault="006F138B"/>
    <w:p w:rsidR="00A858AE" w:rsidRPr="00A858AE" w:rsidRDefault="00A858AE">
      <w:pPr>
        <w:rPr>
          <w:rFonts w:ascii="Times New Roman" w:hAnsi="Times New Roman" w:cs="Times New Roman"/>
          <w:sz w:val="24"/>
          <w:szCs w:val="24"/>
        </w:rPr>
      </w:pPr>
    </w:p>
    <w:p w:rsidR="00A858AE" w:rsidRPr="00A858AE" w:rsidRDefault="00A858AE">
      <w:pPr>
        <w:rPr>
          <w:rFonts w:ascii="Times New Roman" w:hAnsi="Times New Roman" w:cs="Times New Roman"/>
          <w:sz w:val="24"/>
          <w:szCs w:val="24"/>
        </w:rPr>
      </w:pPr>
      <w:r w:rsidRPr="00A858AE">
        <w:rPr>
          <w:rFonts w:ascii="Times New Roman" w:hAnsi="Times New Roman" w:cs="Times New Roman"/>
          <w:sz w:val="24"/>
          <w:szCs w:val="24"/>
        </w:rPr>
        <w:t>М.П.</w:t>
      </w:r>
      <w:r w:rsidR="008B4F48" w:rsidRPr="008B4F48">
        <w:rPr>
          <w:noProof/>
        </w:rPr>
        <w:t xml:space="preserve"> </w:t>
      </w:r>
    </w:p>
    <w:sectPr w:rsidR="00A858AE" w:rsidRPr="00A858AE" w:rsidSect="00CB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6EBC"/>
    <w:rsid w:val="002B6EBC"/>
    <w:rsid w:val="00512A31"/>
    <w:rsid w:val="00556AD6"/>
    <w:rsid w:val="006C6BE3"/>
    <w:rsid w:val="006F138B"/>
    <w:rsid w:val="008B4F48"/>
    <w:rsid w:val="00A858AE"/>
    <w:rsid w:val="00BD2B20"/>
    <w:rsid w:val="00C83A6D"/>
    <w:rsid w:val="00CB6773"/>
    <w:rsid w:val="00CE4A76"/>
    <w:rsid w:val="00D42332"/>
    <w:rsid w:val="00DD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B677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41">
    <w:name w:val="1CStyle41"/>
    <w:rsid w:val="00CB6773"/>
    <w:pPr>
      <w:jc w:val="center"/>
    </w:pPr>
    <w:rPr>
      <w:rFonts w:ascii="Times New Roman" w:hAnsi="Times New Roman"/>
      <w:sz w:val="24"/>
    </w:rPr>
  </w:style>
  <w:style w:type="paragraph" w:customStyle="1" w:styleId="1CStyle2">
    <w:name w:val="1CStyle2"/>
    <w:rsid w:val="00CB6773"/>
    <w:pPr>
      <w:jc w:val="center"/>
    </w:pPr>
    <w:rPr>
      <w:rFonts w:ascii="Times New Roman" w:hAnsi="Times New Roman"/>
      <w:sz w:val="24"/>
    </w:rPr>
  </w:style>
  <w:style w:type="paragraph" w:customStyle="1" w:styleId="1CStyle42">
    <w:name w:val="1CStyle42"/>
    <w:rsid w:val="00CB6773"/>
    <w:pPr>
      <w:jc w:val="center"/>
    </w:pPr>
    <w:rPr>
      <w:rFonts w:ascii="Times New Roman" w:hAnsi="Times New Roman"/>
      <w:sz w:val="24"/>
    </w:rPr>
  </w:style>
  <w:style w:type="paragraph" w:customStyle="1" w:styleId="1CStyle43">
    <w:name w:val="1CStyle43"/>
    <w:rsid w:val="00CB6773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rsid w:val="00CB6773"/>
    <w:pPr>
      <w:jc w:val="center"/>
    </w:pPr>
    <w:rPr>
      <w:rFonts w:ascii="Times New Roman" w:hAnsi="Times New Roman"/>
      <w:sz w:val="24"/>
    </w:rPr>
  </w:style>
  <w:style w:type="paragraph" w:customStyle="1" w:styleId="1CStyle17">
    <w:name w:val="1CStyle17"/>
    <w:rsid w:val="00CB6773"/>
    <w:pPr>
      <w:jc w:val="center"/>
    </w:pPr>
    <w:rPr>
      <w:rFonts w:ascii="Times New Roman" w:hAnsi="Times New Roman"/>
      <w:sz w:val="24"/>
    </w:rPr>
  </w:style>
  <w:style w:type="paragraph" w:customStyle="1" w:styleId="1CStyle20">
    <w:name w:val="1CStyle20"/>
    <w:rsid w:val="00CB6773"/>
    <w:pPr>
      <w:jc w:val="center"/>
    </w:pPr>
    <w:rPr>
      <w:rFonts w:ascii="Times New Roman" w:hAnsi="Times New Roman"/>
      <w:sz w:val="24"/>
    </w:rPr>
  </w:style>
  <w:style w:type="paragraph" w:customStyle="1" w:styleId="1CStyle-1">
    <w:name w:val="1CStyle-1"/>
    <w:rsid w:val="00CB6773"/>
    <w:pPr>
      <w:jc w:val="center"/>
    </w:pPr>
    <w:rPr>
      <w:rFonts w:ascii="Times New Roman" w:hAnsi="Times New Roman"/>
      <w:sz w:val="24"/>
    </w:rPr>
  </w:style>
  <w:style w:type="paragraph" w:customStyle="1" w:styleId="1CStyle0">
    <w:name w:val="1CStyle0"/>
    <w:rsid w:val="00CB6773"/>
    <w:pPr>
      <w:jc w:val="center"/>
    </w:pPr>
    <w:rPr>
      <w:rFonts w:ascii="Times New Roman" w:hAnsi="Times New Roman"/>
      <w:sz w:val="24"/>
    </w:rPr>
  </w:style>
  <w:style w:type="paragraph" w:customStyle="1" w:styleId="1CStyle1">
    <w:name w:val="1CStyle1"/>
    <w:rsid w:val="00CB6773"/>
    <w:pPr>
      <w:jc w:val="center"/>
    </w:pPr>
    <w:rPr>
      <w:rFonts w:ascii="Times New Roman" w:hAnsi="Times New Roman"/>
      <w:sz w:val="24"/>
    </w:rPr>
  </w:style>
  <w:style w:type="paragraph" w:customStyle="1" w:styleId="1CStyle10">
    <w:name w:val="1CStyle10"/>
    <w:rsid w:val="00CB6773"/>
    <w:pPr>
      <w:jc w:val="center"/>
    </w:pPr>
    <w:rPr>
      <w:rFonts w:ascii="Times New Roman" w:hAnsi="Times New Roman"/>
      <w:sz w:val="24"/>
    </w:rPr>
  </w:style>
  <w:style w:type="paragraph" w:customStyle="1" w:styleId="1CStyle11">
    <w:name w:val="1CStyle11"/>
    <w:rsid w:val="00CB6773"/>
    <w:pPr>
      <w:jc w:val="center"/>
    </w:pPr>
    <w:rPr>
      <w:rFonts w:ascii="Times New Roman" w:hAnsi="Times New Roman"/>
      <w:sz w:val="24"/>
    </w:rPr>
  </w:style>
  <w:style w:type="paragraph" w:customStyle="1" w:styleId="1CStyle12">
    <w:name w:val="1CStyle12"/>
    <w:rsid w:val="00CB6773"/>
    <w:pPr>
      <w:jc w:val="center"/>
    </w:pPr>
    <w:rPr>
      <w:rFonts w:ascii="Times New Roman" w:hAnsi="Times New Roman"/>
      <w:sz w:val="24"/>
    </w:rPr>
  </w:style>
  <w:style w:type="paragraph" w:customStyle="1" w:styleId="1CStyle14">
    <w:name w:val="1CStyle14"/>
    <w:rsid w:val="00CB6773"/>
    <w:pPr>
      <w:jc w:val="center"/>
    </w:pPr>
    <w:rPr>
      <w:rFonts w:ascii="Times New Roman" w:hAnsi="Times New Roman"/>
      <w:sz w:val="24"/>
    </w:rPr>
  </w:style>
  <w:style w:type="paragraph" w:customStyle="1" w:styleId="1CStyle15">
    <w:name w:val="1CStyle15"/>
    <w:rsid w:val="00CB6773"/>
    <w:pPr>
      <w:jc w:val="center"/>
    </w:pPr>
    <w:rPr>
      <w:rFonts w:ascii="Times New Roman" w:hAnsi="Times New Roman"/>
      <w:sz w:val="24"/>
    </w:rPr>
  </w:style>
  <w:style w:type="paragraph" w:customStyle="1" w:styleId="1CStyle16">
    <w:name w:val="1CStyle16"/>
    <w:rsid w:val="00CB6773"/>
    <w:pPr>
      <w:jc w:val="center"/>
    </w:pPr>
    <w:rPr>
      <w:rFonts w:ascii="Times New Roman" w:hAnsi="Times New Roman"/>
      <w:sz w:val="24"/>
    </w:rPr>
  </w:style>
  <w:style w:type="paragraph" w:customStyle="1" w:styleId="1CStyle28">
    <w:name w:val="1CStyle28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26">
    <w:name w:val="1CStyle26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22">
    <w:name w:val="1CStyle22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6">
    <w:name w:val="1CStyle6"/>
    <w:rsid w:val="00CB6773"/>
    <w:pPr>
      <w:jc w:val="center"/>
    </w:pPr>
    <w:rPr>
      <w:rFonts w:ascii="Times New Roman" w:hAnsi="Times New Roman"/>
      <w:sz w:val="24"/>
    </w:rPr>
  </w:style>
  <w:style w:type="paragraph" w:customStyle="1" w:styleId="1CStyle23">
    <w:name w:val="1CStyle23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52">
    <w:name w:val="1CStyle52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38">
    <w:name w:val="1CStyle38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53">
    <w:name w:val="1CStyle53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45">
    <w:name w:val="1CStyle45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51">
    <w:name w:val="1CStyle51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37">
    <w:name w:val="1CStyle37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32">
    <w:name w:val="1CStyle32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21">
    <w:name w:val="1CStyle21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24">
    <w:name w:val="1CStyle24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25">
    <w:name w:val="1CStyle25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46">
    <w:name w:val="1CStyle46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49">
    <w:name w:val="1CStyle49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44">
    <w:name w:val="1CStyle44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47">
    <w:name w:val="1CStyle47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8">
    <w:name w:val="1CStyle8"/>
    <w:rsid w:val="00CB6773"/>
    <w:pPr>
      <w:jc w:val="center"/>
    </w:pPr>
    <w:rPr>
      <w:rFonts w:ascii="Times New Roman" w:hAnsi="Times New Roman"/>
      <w:b/>
      <w:sz w:val="24"/>
    </w:rPr>
  </w:style>
  <w:style w:type="paragraph" w:customStyle="1" w:styleId="1CStyle3">
    <w:name w:val="1CStyle3"/>
    <w:rsid w:val="00CB6773"/>
    <w:pPr>
      <w:jc w:val="center"/>
    </w:pPr>
    <w:rPr>
      <w:rFonts w:ascii="Times New Roman" w:hAnsi="Times New Roman"/>
      <w:b/>
      <w:sz w:val="28"/>
    </w:rPr>
  </w:style>
  <w:style w:type="paragraph" w:customStyle="1" w:styleId="1CStyle4">
    <w:name w:val="1CStyle4"/>
    <w:rsid w:val="00CB6773"/>
    <w:pPr>
      <w:jc w:val="center"/>
    </w:pPr>
    <w:rPr>
      <w:rFonts w:ascii="Times New Roman" w:hAnsi="Times New Roman"/>
      <w:b/>
      <w:sz w:val="24"/>
    </w:rPr>
  </w:style>
  <w:style w:type="paragraph" w:customStyle="1" w:styleId="1CStyle9">
    <w:name w:val="1CStyle9"/>
    <w:rsid w:val="00CB6773"/>
    <w:pPr>
      <w:jc w:val="right"/>
    </w:pPr>
    <w:rPr>
      <w:rFonts w:ascii="Times New Roman" w:hAnsi="Times New Roman"/>
      <w:b/>
      <w:sz w:val="24"/>
    </w:rPr>
  </w:style>
  <w:style w:type="paragraph" w:customStyle="1" w:styleId="1CStyle19">
    <w:name w:val="1CStyle19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18">
    <w:name w:val="1CStyle18"/>
    <w:rsid w:val="00CB6773"/>
    <w:pPr>
      <w:jc w:val="center"/>
    </w:pPr>
    <w:rPr>
      <w:rFonts w:ascii="Times New Roman" w:hAnsi="Times New Roman"/>
      <w:b/>
      <w:sz w:val="24"/>
    </w:rPr>
  </w:style>
  <w:style w:type="paragraph" w:customStyle="1" w:styleId="1CStyle36">
    <w:name w:val="1CStyle36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5">
    <w:name w:val="1CStyle5"/>
    <w:rsid w:val="00CB6773"/>
    <w:pPr>
      <w:jc w:val="center"/>
    </w:pPr>
    <w:rPr>
      <w:rFonts w:ascii="Times New Roman" w:hAnsi="Times New Roman"/>
      <w:sz w:val="24"/>
    </w:rPr>
  </w:style>
  <w:style w:type="paragraph" w:customStyle="1" w:styleId="1CStyle7">
    <w:name w:val="1CStyle7"/>
    <w:rsid w:val="00CB6773"/>
    <w:pPr>
      <w:jc w:val="center"/>
    </w:pPr>
    <w:rPr>
      <w:rFonts w:ascii="Times New Roman" w:hAnsi="Times New Roman"/>
      <w:sz w:val="24"/>
    </w:rPr>
  </w:style>
  <w:style w:type="paragraph" w:customStyle="1" w:styleId="1CStyle29">
    <w:name w:val="1CStyle29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30">
    <w:name w:val="1CStyle30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13">
    <w:name w:val="1CStyle13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31">
    <w:name w:val="1CStyle31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27">
    <w:name w:val="1CStyle27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50">
    <w:name w:val="1CStyle50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40">
    <w:name w:val="1CStyle40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35">
    <w:name w:val="1CStyle35"/>
    <w:rsid w:val="00CB6773"/>
    <w:pPr>
      <w:jc w:val="both"/>
    </w:pPr>
    <w:rPr>
      <w:rFonts w:ascii="Times New Roman" w:hAnsi="Times New Roman"/>
      <w:b/>
      <w:sz w:val="24"/>
    </w:rPr>
  </w:style>
  <w:style w:type="paragraph" w:customStyle="1" w:styleId="1CStyle48">
    <w:name w:val="1CStyle48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39">
    <w:name w:val="1CStyle39"/>
    <w:rsid w:val="00CB6773"/>
    <w:pPr>
      <w:jc w:val="both"/>
    </w:pPr>
    <w:rPr>
      <w:rFonts w:ascii="Times New Roman" w:hAnsi="Times New Roman"/>
      <w:sz w:val="24"/>
    </w:rPr>
  </w:style>
  <w:style w:type="paragraph" w:customStyle="1" w:styleId="1CStyle33">
    <w:name w:val="1CStyle33"/>
    <w:rsid w:val="00CB6773"/>
    <w:pPr>
      <w:jc w:val="both"/>
    </w:pPr>
    <w:rPr>
      <w:rFonts w:ascii="Times New Roman" w:hAnsi="Times New Roman"/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8B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41">
    <w:name w:val="1CStyle41"/>
    <w:pPr>
      <w:jc w:val="center"/>
    </w:pPr>
    <w:rPr>
      <w:rFonts w:ascii="Times New Roman" w:hAnsi="Times New Roman"/>
      <w:sz w:val="24"/>
    </w:rPr>
  </w:style>
  <w:style w:type="paragraph" w:customStyle="1" w:styleId="1CStyle2">
    <w:name w:val="1CStyle2"/>
    <w:pPr>
      <w:jc w:val="center"/>
    </w:pPr>
    <w:rPr>
      <w:rFonts w:ascii="Times New Roman" w:hAnsi="Times New Roman"/>
      <w:sz w:val="24"/>
    </w:rPr>
  </w:style>
  <w:style w:type="paragraph" w:customStyle="1" w:styleId="1CStyle42">
    <w:name w:val="1CStyle42"/>
    <w:pPr>
      <w:jc w:val="center"/>
    </w:pPr>
    <w:rPr>
      <w:rFonts w:ascii="Times New Roman" w:hAnsi="Times New Roman"/>
      <w:sz w:val="24"/>
    </w:rPr>
  </w:style>
  <w:style w:type="paragraph" w:customStyle="1" w:styleId="1CStyle43">
    <w:name w:val="1CStyle43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pPr>
      <w:jc w:val="center"/>
    </w:pPr>
    <w:rPr>
      <w:rFonts w:ascii="Times New Roman" w:hAnsi="Times New Roman"/>
      <w:sz w:val="24"/>
    </w:rPr>
  </w:style>
  <w:style w:type="paragraph" w:customStyle="1" w:styleId="1CStyle17">
    <w:name w:val="1CStyle17"/>
    <w:pPr>
      <w:jc w:val="center"/>
    </w:pPr>
    <w:rPr>
      <w:rFonts w:ascii="Times New Roman" w:hAnsi="Times New Roman"/>
      <w:sz w:val="24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24"/>
    </w:rPr>
  </w:style>
  <w:style w:type="paragraph" w:customStyle="1" w:styleId="1CStyle-1">
    <w:name w:val="1CStyle-1"/>
    <w:pPr>
      <w:jc w:val="center"/>
    </w:pPr>
    <w:rPr>
      <w:rFonts w:ascii="Times New Roman" w:hAnsi="Times New Roman"/>
      <w:sz w:val="24"/>
    </w:rPr>
  </w:style>
  <w:style w:type="paragraph" w:customStyle="1" w:styleId="1CStyle0">
    <w:name w:val="1CStyle0"/>
    <w:pPr>
      <w:jc w:val="center"/>
    </w:pPr>
    <w:rPr>
      <w:rFonts w:ascii="Times New Roman" w:hAnsi="Times New Roman"/>
      <w:sz w:val="24"/>
    </w:rPr>
  </w:style>
  <w:style w:type="paragraph" w:customStyle="1" w:styleId="1CStyle1">
    <w:name w:val="1CStyle1"/>
    <w:pPr>
      <w:jc w:val="center"/>
    </w:pPr>
    <w:rPr>
      <w:rFonts w:ascii="Times New Roman" w:hAnsi="Times New Roman"/>
      <w:sz w:val="24"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4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4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4"/>
    </w:rPr>
  </w:style>
  <w:style w:type="paragraph" w:customStyle="1" w:styleId="1CStyle14">
    <w:name w:val="1CStyle14"/>
    <w:pPr>
      <w:jc w:val="center"/>
    </w:pPr>
    <w:rPr>
      <w:rFonts w:ascii="Times New Roman" w:hAnsi="Times New Roman"/>
      <w:sz w:val="24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4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4"/>
    </w:rPr>
  </w:style>
  <w:style w:type="paragraph" w:customStyle="1" w:styleId="1CStyle28">
    <w:name w:val="1CStyle28"/>
    <w:pPr>
      <w:jc w:val="both"/>
    </w:pPr>
    <w:rPr>
      <w:rFonts w:ascii="Times New Roman" w:hAnsi="Times New Roman"/>
      <w:sz w:val="24"/>
    </w:rPr>
  </w:style>
  <w:style w:type="paragraph" w:customStyle="1" w:styleId="1CStyle26">
    <w:name w:val="1CStyle26"/>
    <w:pPr>
      <w:jc w:val="both"/>
    </w:pPr>
    <w:rPr>
      <w:rFonts w:ascii="Times New Roman" w:hAnsi="Times New Roman"/>
      <w:sz w:val="24"/>
    </w:rPr>
  </w:style>
  <w:style w:type="paragraph" w:customStyle="1" w:styleId="1CStyle22">
    <w:name w:val="1CStyle22"/>
    <w:pPr>
      <w:jc w:val="both"/>
    </w:pPr>
    <w:rPr>
      <w:rFonts w:ascii="Times New Roman" w:hAnsi="Times New Roman"/>
      <w:sz w:val="24"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4"/>
    </w:rPr>
  </w:style>
  <w:style w:type="paragraph" w:customStyle="1" w:styleId="1CStyle23">
    <w:name w:val="1CStyle23"/>
    <w:pPr>
      <w:jc w:val="both"/>
    </w:pPr>
    <w:rPr>
      <w:rFonts w:ascii="Times New Roman" w:hAnsi="Times New Roman"/>
      <w:sz w:val="24"/>
    </w:rPr>
  </w:style>
  <w:style w:type="paragraph" w:customStyle="1" w:styleId="1CStyle52">
    <w:name w:val="1CStyle52"/>
    <w:pPr>
      <w:jc w:val="both"/>
    </w:pPr>
    <w:rPr>
      <w:rFonts w:ascii="Times New Roman" w:hAnsi="Times New Roman"/>
      <w:sz w:val="24"/>
    </w:rPr>
  </w:style>
  <w:style w:type="paragraph" w:customStyle="1" w:styleId="1CStyle38">
    <w:name w:val="1CStyle38"/>
    <w:pPr>
      <w:jc w:val="both"/>
    </w:pPr>
    <w:rPr>
      <w:rFonts w:ascii="Times New Roman" w:hAnsi="Times New Roman"/>
      <w:sz w:val="24"/>
    </w:rPr>
  </w:style>
  <w:style w:type="paragraph" w:customStyle="1" w:styleId="1CStyle53">
    <w:name w:val="1CStyle53"/>
    <w:pPr>
      <w:jc w:val="both"/>
    </w:pPr>
    <w:rPr>
      <w:rFonts w:ascii="Times New Roman" w:hAnsi="Times New Roman"/>
      <w:sz w:val="24"/>
    </w:rPr>
  </w:style>
  <w:style w:type="paragraph" w:customStyle="1" w:styleId="1CStyle45">
    <w:name w:val="1CStyle45"/>
    <w:pPr>
      <w:jc w:val="both"/>
    </w:pPr>
    <w:rPr>
      <w:rFonts w:ascii="Times New Roman" w:hAnsi="Times New Roman"/>
      <w:sz w:val="24"/>
    </w:rPr>
  </w:style>
  <w:style w:type="paragraph" w:customStyle="1" w:styleId="1CStyle51">
    <w:name w:val="1CStyle51"/>
    <w:pPr>
      <w:jc w:val="both"/>
    </w:pPr>
    <w:rPr>
      <w:rFonts w:ascii="Times New Roman" w:hAnsi="Times New Roman"/>
      <w:sz w:val="24"/>
    </w:rPr>
  </w:style>
  <w:style w:type="paragraph" w:customStyle="1" w:styleId="1CStyle37">
    <w:name w:val="1CStyle37"/>
    <w:pPr>
      <w:jc w:val="both"/>
    </w:pPr>
    <w:rPr>
      <w:rFonts w:ascii="Times New Roman" w:hAnsi="Times New Roman"/>
      <w:sz w:val="24"/>
    </w:rPr>
  </w:style>
  <w:style w:type="paragraph" w:customStyle="1" w:styleId="1CStyle32">
    <w:name w:val="1CStyle32"/>
    <w:pPr>
      <w:jc w:val="both"/>
    </w:pPr>
    <w:rPr>
      <w:rFonts w:ascii="Times New Roman" w:hAnsi="Times New Roman"/>
      <w:sz w:val="24"/>
    </w:rPr>
  </w:style>
  <w:style w:type="paragraph" w:customStyle="1" w:styleId="1CStyle21">
    <w:name w:val="1CStyle21"/>
    <w:pPr>
      <w:jc w:val="both"/>
    </w:pPr>
    <w:rPr>
      <w:rFonts w:ascii="Times New Roman" w:hAnsi="Times New Roman"/>
      <w:sz w:val="24"/>
    </w:rPr>
  </w:style>
  <w:style w:type="paragraph" w:customStyle="1" w:styleId="1CStyle24">
    <w:name w:val="1CStyle24"/>
    <w:pPr>
      <w:jc w:val="both"/>
    </w:pPr>
    <w:rPr>
      <w:rFonts w:ascii="Times New Roman" w:hAnsi="Times New Roman"/>
      <w:sz w:val="24"/>
    </w:rPr>
  </w:style>
  <w:style w:type="paragraph" w:customStyle="1" w:styleId="1CStyle25">
    <w:name w:val="1CStyle25"/>
    <w:pPr>
      <w:jc w:val="both"/>
    </w:pPr>
    <w:rPr>
      <w:rFonts w:ascii="Times New Roman" w:hAnsi="Times New Roman"/>
      <w:sz w:val="24"/>
    </w:rPr>
  </w:style>
  <w:style w:type="paragraph" w:customStyle="1" w:styleId="1CStyle46">
    <w:name w:val="1CStyle46"/>
    <w:pPr>
      <w:jc w:val="both"/>
    </w:pPr>
    <w:rPr>
      <w:rFonts w:ascii="Times New Roman" w:hAnsi="Times New Roman"/>
      <w:sz w:val="24"/>
    </w:rPr>
  </w:style>
  <w:style w:type="paragraph" w:customStyle="1" w:styleId="1CStyle49">
    <w:name w:val="1CStyle49"/>
    <w:pPr>
      <w:jc w:val="both"/>
    </w:pPr>
    <w:rPr>
      <w:rFonts w:ascii="Times New Roman" w:hAnsi="Times New Roman"/>
      <w:sz w:val="24"/>
    </w:rPr>
  </w:style>
  <w:style w:type="paragraph" w:customStyle="1" w:styleId="1CStyle44">
    <w:name w:val="1CStyle44"/>
    <w:pPr>
      <w:jc w:val="both"/>
    </w:pPr>
    <w:rPr>
      <w:rFonts w:ascii="Times New Roman" w:hAnsi="Times New Roman"/>
      <w:sz w:val="24"/>
    </w:rPr>
  </w:style>
  <w:style w:type="paragraph" w:customStyle="1" w:styleId="1CStyle47">
    <w:name w:val="1CStyle47"/>
    <w:pPr>
      <w:jc w:val="both"/>
    </w:pPr>
    <w:rPr>
      <w:rFonts w:ascii="Times New Roman" w:hAnsi="Times New Roman"/>
      <w:sz w:val="24"/>
    </w:rPr>
  </w:style>
  <w:style w:type="paragraph" w:customStyle="1" w:styleId="1CStyle8">
    <w:name w:val="1CStyle8"/>
    <w:pPr>
      <w:jc w:val="center"/>
    </w:pPr>
    <w:rPr>
      <w:rFonts w:ascii="Times New Roman" w:hAnsi="Times New Roman"/>
      <w:b/>
      <w:sz w:val="24"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  <w:sz w:val="28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  <w:sz w:val="24"/>
    </w:rPr>
  </w:style>
  <w:style w:type="paragraph" w:customStyle="1" w:styleId="1CStyle9">
    <w:name w:val="1CStyle9"/>
    <w:pPr>
      <w:jc w:val="right"/>
    </w:pPr>
    <w:rPr>
      <w:rFonts w:ascii="Times New Roman" w:hAnsi="Times New Roman"/>
      <w:b/>
      <w:sz w:val="24"/>
    </w:rPr>
  </w:style>
  <w:style w:type="paragraph" w:customStyle="1" w:styleId="1CStyle19">
    <w:name w:val="1CStyle19"/>
    <w:pPr>
      <w:jc w:val="both"/>
    </w:pPr>
    <w:rPr>
      <w:rFonts w:ascii="Times New Roman" w:hAnsi="Times New Roman"/>
      <w:sz w:val="24"/>
    </w:rPr>
  </w:style>
  <w:style w:type="paragraph" w:customStyle="1" w:styleId="1CStyle18">
    <w:name w:val="1CStyle18"/>
    <w:pPr>
      <w:jc w:val="center"/>
    </w:pPr>
    <w:rPr>
      <w:rFonts w:ascii="Times New Roman" w:hAnsi="Times New Roman"/>
      <w:b/>
      <w:sz w:val="24"/>
    </w:rPr>
  </w:style>
  <w:style w:type="paragraph" w:customStyle="1" w:styleId="1CStyle36">
    <w:name w:val="1CStyle36"/>
    <w:pPr>
      <w:jc w:val="both"/>
    </w:pPr>
    <w:rPr>
      <w:rFonts w:ascii="Times New Roman" w:hAnsi="Times New Roman"/>
      <w:sz w:val="24"/>
    </w:rPr>
  </w:style>
  <w:style w:type="paragraph" w:customStyle="1" w:styleId="1CStyle5">
    <w:name w:val="1CStyle5"/>
    <w:pPr>
      <w:jc w:val="center"/>
    </w:pPr>
    <w:rPr>
      <w:rFonts w:ascii="Times New Roman" w:hAnsi="Times New Roman"/>
      <w:sz w:val="24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4"/>
    </w:rPr>
  </w:style>
  <w:style w:type="paragraph" w:customStyle="1" w:styleId="1CStyle29">
    <w:name w:val="1CStyle29"/>
    <w:pPr>
      <w:jc w:val="both"/>
    </w:pPr>
    <w:rPr>
      <w:rFonts w:ascii="Times New Roman" w:hAnsi="Times New Roman"/>
      <w:sz w:val="24"/>
    </w:rPr>
  </w:style>
  <w:style w:type="paragraph" w:customStyle="1" w:styleId="1CStyle30">
    <w:name w:val="1CStyle30"/>
    <w:pPr>
      <w:jc w:val="both"/>
    </w:pPr>
    <w:rPr>
      <w:rFonts w:ascii="Times New Roman" w:hAnsi="Times New Roman"/>
      <w:sz w:val="24"/>
    </w:rPr>
  </w:style>
  <w:style w:type="paragraph" w:customStyle="1" w:styleId="1CStyle13">
    <w:name w:val="1CStyle13"/>
    <w:pPr>
      <w:jc w:val="both"/>
    </w:pPr>
    <w:rPr>
      <w:rFonts w:ascii="Times New Roman" w:hAnsi="Times New Roman"/>
      <w:sz w:val="24"/>
    </w:rPr>
  </w:style>
  <w:style w:type="paragraph" w:customStyle="1" w:styleId="1CStyle31">
    <w:name w:val="1CStyle31"/>
    <w:pPr>
      <w:jc w:val="both"/>
    </w:pPr>
    <w:rPr>
      <w:rFonts w:ascii="Times New Roman" w:hAnsi="Times New Roman"/>
      <w:sz w:val="24"/>
    </w:rPr>
  </w:style>
  <w:style w:type="paragraph" w:customStyle="1" w:styleId="1CStyle27">
    <w:name w:val="1CStyle27"/>
    <w:pPr>
      <w:jc w:val="both"/>
    </w:pPr>
    <w:rPr>
      <w:rFonts w:ascii="Times New Roman" w:hAnsi="Times New Roman"/>
      <w:sz w:val="24"/>
    </w:rPr>
  </w:style>
  <w:style w:type="paragraph" w:customStyle="1" w:styleId="1CStyle50">
    <w:name w:val="1CStyle50"/>
    <w:pPr>
      <w:jc w:val="both"/>
    </w:pPr>
    <w:rPr>
      <w:rFonts w:ascii="Times New Roman" w:hAnsi="Times New Roman"/>
      <w:sz w:val="24"/>
    </w:rPr>
  </w:style>
  <w:style w:type="paragraph" w:customStyle="1" w:styleId="1CStyle40">
    <w:name w:val="1CStyle40"/>
    <w:pPr>
      <w:jc w:val="both"/>
    </w:pPr>
    <w:rPr>
      <w:rFonts w:ascii="Times New Roman" w:hAnsi="Times New Roman"/>
      <w:sz w:val="24"/>
    </w:rPr>
  </w:style>
  <w:style w:type="paragraph" w:customStyle="1" w:styleId="1CStyle35">
    <w:name w:val="1CStyle35"/>
    <w:pPr>
      <w:jc w:val="both"/>
    </w:pPr>
    <w:rPr>
      <w:rFonts w:ascii="Times New Roman" w:hAnsi="Times New Roman"/>
      <w:b/>
      <w:sz w:val="24"/>
    </w:rPr>
  </w:style>
  <w:style w:type="paragraph" w:customStyle="1" w:styleId="1CStyle48">
    <w:name w:val="1CStyle48"/>
    <w:pPr>
      <w:jc w:val="both"/>
    </w:pPr>
    <w:rPr>
      <w:rFonts w:ascii="Times New Roman" w:hAnsi="Times New Roman"/>
      <w:sz w:val="24"/>
    </w:rPr>
  </w:style>
  <w:style w:type="paragraph" w:customStyle="1" w:styleId="1CStyle39">
    <w:name w:val="1CStyle39"/>
    <w:pPr>
      <w:jc w:val="both"/>
    </w:pPr>
    <w:rPr>
      <w:rFonts w:ascii="Times New Roman" w:hAnsi="Times New Roman"/>
      <w:sz w:val="24"/>
    </w:rPr>
  </w:style>
  <w:style w:type="paragraph" w:customStyle="1" w:styleId="1CStyle33">
    <w:name w:val="1CStyle33"/>
    <w:pPr>
      <w:jc w:val="both"/>
    </w:pPr>
    <w:rPr>
      <w:rFonts w:ascii="Times New Roman" w:hAnsi="Times New Roman"/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8B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A5136F1-7108-4B24-916D-632707DE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Ольга Михайловна</dc:creator>
  <cp:lastModifiedBy>s.belomestnova</cp:lastModifiedBy>
  <cp:revision>2</cp:revision>
  <cp:lastPrinted>2015-01-21T14:05:00Z</cp:lastPrinted>
  <dcterms:created xsi:type="dcterms:W3CDTF">2015-02-05T07:21:00Z</dcterms:created>
  <dcterms:modified xsi:type="dcterms:W3CDTF">2015-02-05T07:21:00Z</dcterms:modified>
</cp:coreProperties>
</file>